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様式第４―④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8350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の発生の影響に起因して、下記のとおり、経営の安定に支障が生じておりますので、中小企業信用保険法第２条第５項第４号の規定に基づき認定されるようお願いします。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Ｂ：令和元年１０月から１２月の売上高等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Ｃ：令和元年１０月から１２月の平均売上高等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Ｂ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331" w:leftChars="634" w:firstLine="349" w:firstLineChars="166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　３　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Ｂ－（Ａ＋Ｄ）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Ｄ：Ａの期間後　２　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本様式は、業歴３ヶ月以上１年１ヶ月未満の場合あるいは前年以降、事業拡大等により前年比較が適当</w:t>
      </w:r>
    </w:p>
    <w:p>
      <w:pPr>
        <w:pStyle w:val="0"/>
        <w:numPr>
          <w:numId w:val="0"/>
        </w:numPr>
        <w:suppressAutoHyphens w:val="1"/>
        <w:wordWrap w:val="0"/>
        <w:spacing w:line="246" w:lineRule="exact"/>
        <w:ind w:left="570" w:leftChars="0" w:firstLine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でない特段の事情がある場合に使用します。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503316478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　　　　小山町長　込山　正秀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2</Pages>
  <Words>2</Words>
  <Characters>570</Characters>
  <Application>JUST Note</Application>
  <Lines>56</Lines>
  <Paragraphs>40</Paragraphs>
  <CharactersWithSpaces>1239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2021-08-05T06:32:05Z</dcterms:modified>
  <cp:revision>10</cp:revision>
</cp:coreProperties>
</file>